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D751EE">
        <w:rPr>
          <w:rFonts w:ascii="Times New Roman" w:eastAsia="Times New Roman" w:hAnsi="Times New Roman" w:cs="Times New Roman"/>
          <w:sz w:val="24"/>
          <w:szCs w:val="24"/>
        </w:rPr>
        <w:t xml:space="preserve"> 2024</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311895">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00D751EE">
                    <w:rPr>
                      <w:rFonts w:ascii="Times New Roman" w:hAnsi="Times New Roman" w:cs="Times New Roman"/>
                      <w:b/>
                      <w:sz w:val="24"/>
                      <w:szCs w:val="24"/>
                    </w:rPr>
                    <w:t xml:space="preserve">: </w:t>
                  </w:r>
                  <w:r w:rsidR="00D751EE" w:rsidRPr="00D751EE">
                    <w:rPr>
                      <w:rFonts w:ascii="Times New Roman" w:hAnsi="Times New Roman" w:cs="Times New Roman"/>
                      <w:sz w:val="24"/>
                      <w:szCs w:val="24"/>
                    </w:rPr>
                    <w:t>6B02304 «Переводческое дело (западные языки)»</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w:t>
                  </w:r>
                  <w:r w:rsidR="00D751EE">
                    <w:rPr>
                      <w:rFonts w:ascii="Times New Roman" w:hAnsi="Times New Roman" w:cs="Times New Roman"/>
                      <w:sz w:val="24"/>
                      <w:szCs w:val="24"/>
                    </w:rPr>
                    <w:t xml:space="preserve">  4</w:t>
                  </w:r>
                  <w:r w:rsidRPr="0099689B">
                    <w:rPr>
                      <w:rFonts w:ascii="Times New Roman" w:hAnsi="Times New Roman" w:cs="Times New Roman"/>
                      <w:sz w:val="24"/>
                      <w:szCs w:val="24"/>
                    </w:rPr>
                    <w:t xml:space="preserve"> курс, </w:t>
                  </w:r>
                  <w:r w:rsidR="00D751EE" w:rsidRPr="00D751EE">
                    <w:rPr>
                      <w:rFonts w:ascii="Times New Roman" w:hAnsi="Times New Roman" w:cs="Times New Roman"/>
                      <w:bCs/>
                      <w:sz w:val="24"/>
                      <w:szCs w:val="24"/>
                    </w:rPr>
                    <w:t>6B02304 «Переводческое дело (западные языки)»</w:t>
                  </w:r>
                </w:p>
              </w:tc>
            </w:tr>
            <w:tr w:rsidR="002B274B" w:rsidRPr="0099689B" w:rsidTr="00222636">
              <w:tc>
                <w:tcPr>
                  <w:tcW w:w="15241" w:type="dxa"/>
                </w:tcPr>
                <w:p w:rsidR="002B274B" w:rsidRPr="0099689B" w:rsidRDefault="002B274B" w:rsidP="00D751EE">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D751EE" w:rsidRPr="00D751EE">
                    <w:rPr>
                      <w:rFonts w:ascii="Times New Roman" w:hAnsi="Times New Roman" w:cs="Times New Roman"/>
                      <w:sz w:val="24"/>
                      <w:szCs w:val="24"/>
                    </w:rPr>
                    <w:t>Теория межкультурной коммуникации в профессиональной сфере</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311895" w:rsidRPr="00311895">
                    <w:rPr>
                      <w:rFonts w:ascii="Times New Roman" w:hAnsi="Times New Roman" w:cs="Times New Roman"/>
                      <w:sz w:val="24"/>
                      <w:szCs w:val="24"/>
                    </w:rPr>
                    <w:t xml:space="preserve">Применять понятийно-терминологический аппарат теорий межкультурной коммуникации и речевого воздействия, демонстрируя владение культурой устной и письменной речи. Будут изучены – теории речевого воздействия и межкультурной коммуникации, история становления межкультурной коммуникации, теории, структура и виды межкультурной </w:t>
                  </w:r>
                  <w:proofErr w:type="spellStart"/>
                  <w:r w:rsidR="00311895" w:rsidRPr="00311895">
                    <w:rPr>
                      <w:rFonts w:ascii="Times New Roman" w:hAnsi="Times New Roman" w:cs="Times New Roman"/>
                      <w:sz w:val="24"/>
                      <w:szCs w:val="24"/>
                    </w:rPr>
                    <w:t>коммуникации</w:t>
                  </w:r>
                  <w:proofErr w:type="gramStart"/>
                  <w:r w:rsidR="00311895" w:rsidRPr="00311895">
                    <w:rPr>
                      <w:rFonts w:ascii="Times New Roman" w:hAnsi="Times New Roman" w:cs="Times New Roman"/>
                      <w:sz w:val="24"/>
                      <w:szCs w:val="24"/>
                    </w:rPr>
                    <w:t>.</w:t>
                  </w:r>
                  <w:r w:rsidR="0099689B" w:rsidRPr="0099689B">
                    <w:rPr>
                      <w:rFonts w:ascii="Times New Roman" w:hAnsi="Times New Roman" w:cs="Times New Roman"/>
                      <w:sz w:val="24"/>
                      <w:szCs w:val="24"/>
                    </w:rPr>
                    <w:t>а</w:t>
                  </w:r>
                  <w:proofErr w:type="gramEnd"/>
                  <w:r w:rsidR="0099689B" w:rsidRPr="0099689B">
                    <w:rPr>
                      <w:rFonts w:ascii="Times New Roman" w:hAnsi="Times New Roman" w:cs="Times New Roman"/>
                      <w:sz w:val="24"/>
                      <w:szCs w:val="24"/>
                    </w:rPr>
                    <w:t>зных</w:t>
                  </w:r>
                  <w:proofErr w:type="spellEnd"/>
                  <w:r w:rsidR="0099689B" w:rsidRPr="0099689B">
                    <w:rPr>
                      <w:rFonts w:ascii="Times New Roman" w:hAnsi="Times New Roman" w:cs="Times New Roman"/>
                      <w:sz w:val="24"/>
                      <w:szCs w:val="24"/>
                    </w:rPr>
                    <w:t xml:space="preserve"> уровнях.</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iCs/>
                <w:sz w:val="24"/>
                <w:szCs w:val="24"/>
                <w:shd w:val="clear" w:color="auto" w:fill="FFFFFF"/>
              </w:rPr>
              <w:t>Вербальная коммуникация</w:t>
            </w:r>
          </w:p>
        </w:tc>
        <w:tc>
          <w:tcPr>
            <w:tcW w:w="3543" w:type="dxa"/>
          </w:tcPr>
          <w:p w:rsidR="00D751EE" w:rsidRPr="0099689B" w:rsidRDefault="00D751EE"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D751EE" w:rsidRPr="0099689B" w:rsidRDefault="00D751EE"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Pr>
                <w:rFonts w:ascii="Times New Roman" w:hAnsi="Times New Roman" w:cs="Times New Roman"/>
                <w:sz w:val="24"/>
                <w:szCs w:val="24"/>
              </w:rPr>
              <w:t>2020</w:t>
            </w: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Pr>
                <w:rFonts w:ascii="Times New Roman" w:hAnsi="Times New Roman" w:cs="Times New Roman"/>
                <w:sz w:val="24"/>
                <w:szCs w:val="24"/>
              </w:rPr>
              <w:t>2019</w:t>
            </w: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Pr>
                <w:rFonts w:ascii="Times New Roman" w:hAnsi="Times New Roman" w:cs="Times New Roman"/>
                <w:sz w:val="24"/>
                <w:szCs w:val="24"/>
              </w:rPr>
              <w:t xml:space="preserve"> 2018</w:t>
            </w: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Pr="0099689B">
              <w:rPr>
                <w:rFonts w:ascii="Times New Roman" w:eastAsia="Times New Roman" w:hAnsi="Times New Roman" w:cs="Times New Roman"/>
                <w:sz w:val="24"/>
                <w:szCs w:val="24"/>
              </w:rPr>
              <w:t>Миньяр-</w:t>
            </w:r>
            <w:proofErr w:type="spellStart"/>
            <w:r w:rsidRPr="0099689B">
              <w:rPr>
                <w:rFonts w:ascii="Times New Roman" w:eastAsia="Times New Roman" w:hAnsi="Times New Roman" w:cs="Times New Roman"/>
                <w:sz w:val="24"/>
                <w:szCs w:val="24"/>
              </w:rPr>
              <w:t>Белоручев</w:t>
            </w:r>
            <w:proofErr w:type="spellEnd"/>
            <w:r w:rsidRPr="0099689B">
              <w:rPr>
                <w:rFonts w:ascii="Times New Roman" w:eastAsia="Times New Roman" w:hAnsi="Times New Roman" w:cs="Times New Roman"/>
                <w:sz w:val="24"/>
                <w:szCs w:val="24"/>
              </w:rPr>
              <w:t xml:space="preserve"> Р. К. Как стать переводчиком?, </w:t>
            </w:r>
            <w:r>
              <w:rPr>
                <w:rFonts w:ascii="Times New Roman" w:hAnsi="Times New Roman" w:cs="Times New Roman"/>
                <w:sz w:val="24"/>
                <w:szCs w:val="24"/>
              </w:rPr>
              <w:t xml:space="preserve"> 2019</w:t>
            </w: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Pr>
                <w:rFonts w:ascii="Times New Roman" w:hAnsi="Times New Roman" w:cs="Times New Roman"/>
                <w:sz w:val="24"/>
                <w:szCs w:val="24"/>
              </w:rPr>
              <w:t xml:space="preserve"> 2020</w:t>
            </w: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hAnsi="Times New Roman" w:cs="Times New Roman"/>
                <w:sz w:val="24"/>
                <w:szCs w:val="24"/>
              </w:rPr>
            </w:pPr>
          </w:p>
          <w:p w:rsidR="00D751EE" w:rsidRPr="0099689B" w:rsidRDefault="00D751EE"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Pr>
                <w:rFonts w:ascii="Times New Roman" w:hAnsi="Times New Roman" w:cs="Times New Roman"/>
                <w:sz w:val="24"/>
                <w:szCs w:val="24"/>
              </w:rPr>
              <w:t xml:space="preserve"> 2019</w:t>
            </w: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iCs/>
                <w:sz w:val="24"/>
                <w:szCs w:val="24"/>
                <w:shd w:val="clear" w:color="auto" w:fill="FFFFFF"/>
              </w:rPr>
              <w:t>Невербальная коммуникация</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D751EE" w:rsidRPr="00D751EE" w:rsidRDefault="00D751EE" w:rsidP="00367ACE">
            <w:pPr>
              <w:tabs>
                <w:tab w:val="left" w:pos="1276"/>
              </w:tabs>
              <w:rPr>
                <w:rFonts w:ascii="Times New Roman" w:hAnsi="Times New Roman" w:cs="Times New Roman"/>
                <w:b/>
                <w:sz w:val="24"/>
                <w:szCs w:val="24"/>
              </w:rPr>
            </w:pPr>
            <w:proofErr w:type="spellStart"/>
            <w:r w:rsidRPr="00D751EE">
              <w:rPr>
                <w:rFonts w:ascii="Times New Roman" w:hAnsi="Times New Roman" w:cs="Times New Roman"/>
                <w:iCs/>
                <w:sz w:val="24"/>
                <w:szCs w:val="24"/>
                <w:shd w:val="clear" w:color="auto" w:fill="FFFFFF"/>
              </w:rPr>
              <w:t>Паравербальная</w:t>
            </w:r>
            <w:proofErr w:type="spellEnd"/>
            <w:r w:rsidRPr="00D751EE">
              <w:rPr>
                <w:rFonts w:ascii="Times New Roman" w:hAnsi="Times New Roman" w:cs="Times New Roman"/>
                <w:iCs/>
                <w:sz w:val="24"/>
                <w:szCs w:val="24"/>
                <w:shd w:val="clear" w:color="auto" w:fill="FFFFFF"/>
              </w:rPr>
              <w:t xml:space="preserve"> коммуникация</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 xml:space="preserve">Соотношение понятий «коммуникация» и «общение». Различные подходы к проблеме. </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Функции, формы, стили, манера общения. Лингвистический аспект коммуникации.</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Антропоцентрический подход в изучении речевой коммуникации. Понятия «коммуникативная ситуация», «речевой акт», «диалог», «дискурс», «текст» в прагматике. </w:t>
            </w:r>
          </w:p>
        </w:tc>
        <w:tc>
          <w:tcPr>
            <w:tcW w:w="3543" w:type="dxa"/>
          </w:tcPr>
          <w:p w:rsidR="00D751EE" w:rsidRPr="0099689B" w:rsidRDefault="00D751EE"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D751EE" w:rsidRPr="00D751EE" w:rsidRDefault="00D751EE" w:rsidP="00367ACE">
            <w:pPr>
              <w:tabs>
                <w:tab w:val="left" w:pos="1276"/>
              </w:tabs>
              <w:rPr>
                <w:rFonts w:ascii="Times New Roman" w:hAnsi="Times New Roman" w:cs="Times New Roman"/>
                <w:b/>
                <w:sz w:val="24"/>
                <w:szCs w:val="24"/>
                <w:highlight w:val="green"/>
              </w:rPr>
            </w:pPr>
            <w:r w:rsidRPr="00D751EE">
              <w:rPr>
                <w:rFonts w:ascii="Times New Roman" w:hAnsi="Times New Roman" w:cs="Times New Roman"/>
                <w:sz w:val="24"/>
                <w:szCs w:val="24"/>
              </w:rPr>
              <w:t xml:space="preserve">Кейс задание по коммуникативным ситуациям.  </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Проблемы диалогической речи в аспекте лингвистической прагматики. Функциональный подход к исследованию диалогической речи.</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Прагматика и функциональный подход. Теория «дискурса». Участники речевого акта, составляющие речевого акта. Типы речевых актов.</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Понятие «диалогическое единство», составляющие, функциональность, модальность.</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«Культура» - центральное понятие МКК. Различные подходы. Обобщенная классификация. Функции культуры. </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D751EE" w:rsidRPr="00D751EE" w:rsidRDefault="00D751EE" w:rsidP="00367ACE">
            <w:pPr>
              <w:jc w:val="both"/>
              <w:rPr>
                <w:rFonts w:ascii="Times New Roman" w:hAnsi="Times New Roman" w:cs="Times New Roman"/>
                <w:sz w:val="24"/>
                <w:szCs w:val="24"/>
              </w:rPr>
            </w:pPr>
            <w:r w:rsidRPr="00D751EE">
              <w:rPr>
                <w:rFonts w:ascii="Times New Roman" w:hAnsi="Times New Roman" w:cs="Times New Roman"/>
                <w:sz w:val="24"/>
                <w:szCs w:val="24"/>
              </w:rPr>
              <w:t>Консультация по выполнению СРС 3 на тему «Язык и культура».</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 xml:space="preserve">Освоение культуры: социализация, </w:t>
            </w:r>
            <w:proofErr w:type="spellStart"/>
            <w:r w:rsidRPr="00D751EE">
              <w:rPr>
                <w:rFonts w:ascii="Times New Roman" w:hAnsi="Times New Roman" w:cs="Times New Roman"/>
                <w:sz w:val="24"/>
                <w:szCs w:val="24"/>
                <w:shd w:val="clear" w:color="auto" w:fill="FFFFFF"/>
              </w:rPr>
              <w:t>инкультурация</w:t>
            </w:r>
            <w:proofErr w:type="spellEnd"/>
            <w:r w:rsidRPr="00D751EE">
              <w:rPr>
                <w:rFonts w:ascii="Times New Roman" w:hAnsi="Times New Roman" w:cs="Times New Roman"/>
                <w:sz w:val="24"/>
                <w:szCs w:val="24"/>
                <w:shd w:val="clear" w:color="auto" w:fill="FFFFFF"/>
              </w:rPr>
              <w:t xml:space="preserve"> и аккультурация. Культура и поведение. Культура и ценности. Культурная идентичность и чужеродность.</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Взаимоотношение языка и культуры. Гипотеза лингвистической относительности Сепира-Уорфа.</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r w:rsidR="00D751EE"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D751EE" w:rsidRPr="0099689B" w:rsidRDefault="00D751EE"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D751EE" w:rsidRPr="00D751EE" w:rsidRDefault="00D751EE" w:rsidP="00367ACE">
            <w:pPr>
              <w:tabs>
                <w:tab w:val="left" w:pos="1276"/>
              </w:tabs>
              <w:rPr>
                <w:rFonts w:ascii="Times New Roman" w:hAnsi="Times New Roman" w:cs="Times New Roman"/>
                <w:b/>
                <w:sz w:val="24"/>
                <w:szCs w:val="24"/>
              </w:rPr>
            </w:pPr>
            <w:r w:rsidRPr="00D751EE">
              <w:rPr>
                <w:rFonts w:ascii="Times New Roman" w:hAnsi="Times New Roman" w:cs="Times New Roman"/>
                <w:sz w:val="24"/>
                <w:szCs w:val="24"/>
                <w:shd w:val="clear" w:color="auto" w:fill="FFFFFF"/>
              </w:rPr>
              <w:t>Межкультурные конфликты и пути их преодоления. «Культурный шок» в освоении «чужой» культуры.</w:t>
            </w:r>
          </w:p>
        </w:tc>
        <w:tc>
          <w:tcPr>
            <w:tcW w:w="3543" w:type="dxa"/>
          </w:tcPr>
          <w:p w:rsidR="00D751EE" w:rsidRPr="0099689B" w:rsidRDefault="00D751EE"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D751EE" w:rsidRPr="0099689B" w:rsidRDefault="00D751EE"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w:t>
      </w:r>
      <w:r w:rsidRPr="0099689B">
        <w:rPr>
          <w:rFonts w:ascii="Times New Roman" w:hAnsi="Times New Roman" w:cs="Times New Roman"/>
          <w:sz w:val="24"/>
          <w:szCs w:val="24"/>
        </w:rPr>
        <w:lastRenderedPageBreak/>
        <w:t>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D751EE">
              <w:rPr>
                <w:rFonts w:ascii="Times New Roman" w:hAnsi="Times New Roman" w:cs="Times New Roman"/>
                <w:sz w:val="24"/>
                <w:szCs w:val="24"/>
              </w:rPr>
              <w:t>«__________» 2024</w:t>
            </w:r>
            <w:bookmarkStart w:id="0" w:name="_GoBack"/>
            <w:bookmarkEnd w:id="0"/>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7B08A6">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11895"/>
    <w:rsid w:val="003A6DAF"/>
    <w:rsid w:val="003A7F47"/>
    <w:rsid w:val="004E05FC"/>
    <w:rsid w:val="00542D9A"/>
    <w:rsid w:val="005439CB"/>
    <w:rsid w:val="005A5B2B"/>
    <w:rsid w:val="005F59BE"/>
    <w:rsid w:val="006A2F99"/>
    <w:rsid w:val="00745CEE"/>
    <w:rsid w:val="00777455"/>
    <w:rsid w:val="007B08A6"/>
    <w:rsid w:val="008644BC"/>
    <w:rsid w:val="008C389D"/>
    <w:rsid w:val="00943F3A"/>
    <w:rsid w:val="00993839"/>
    <w:rsid w:val="0099689B"/>
    <w:rsid w:val="009D3349"/>
    <w:rsid w:val="009F5B7F"/>
    <w:rsid w:val="00AA3150"/>
    <w:rsid w:val="00D751E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2024-06-20T14:43:00Z</dcterms:modified>
</cp:coreProperties>
</file>